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FD3" w14:textId="77777777" w:rsidR="00C024B7" w:rsidRPr="00B459E6" w:rsidRDefault="00C024B7" w:rsidP="00C024B7">
      <w:pPr>
        <w:pStyle w:val="Titel"/>
        <w:jc w:val="center"/>
      </w:pPr>
      <w:r w:rsidRPr="00B459E6">
        <w:t>PRESSEMITTEILUNG</w:t>
      </w:r>
    </w:p>
    <w:p w14:paraId="2B6CDB43" w14:textId="77777777" w:rsidR="00C024B7" w:rsidRPr="00B459E6" w:rsidRDefault="00C024B7" w:rsidP="00C024B7"/>
    <w:p w14:paraId="771B4057" w14:textId="03340755" w:rsidR="00FE4AF0" w:rsidRDefault="0071252F" w:rsidP="00FE4AF0">
      <w:r w:rsidRPr="0071252F">
        <w:rPr>
          <w:rFonts w:asciiTheme="majorHAnsi" w:eastAsiaTheme="majorEastAsia" w:hAnsiTheme="majorHAnsi" w:cstheme="majorBidi"/>
          <w:color w:val="0F4761" w:themeColor="accent1" w:themeShade="BF"/>
          <w:kern w:val="2"/>
          <w:sz w:val="40"/>
          <w:szCs w:val="40"/>
          <w14:ligatures w14:val="standardContextual"/>
        </w:rPr>
        <w:t xml:space="preserve">INESG-Netzwerk tritt in Phase 2 ein: Von der </w:t>
      </w:r>
      <w:r>
        <w:rPr>
          <w:rFonts w:asciiTheme="majorHAnsi" w:eastAsiaTheme="majorEastAsia" w:hAnsiTheme="majorHAnsi" w:cstheme="majorBidi"/>
          <w:color w:val="0F4761" w:themeColor="accent1" w:themeShade="BF"/>
          <w:kern w:val="2"/>
          <w:sz w:val="40"/>
          <w:szCs w:val="40"/>
          <w14:ligatures w14:val="standardContextual"/>
        </w:rPr>
        <w:t xml:space="preserve">reinen </w:t>
      </w:r>
      <w:r w:rsidRPr="0071252F">
        <w:rPr>
          <w:rFonts w:asciiTheme="majorHAnsi" w:eastAsiaTheme="majorEastAsia" w:hAnsiTheme="majorHAnsi" w:cstheme="majorBidi"/>
          <w:color w:val="0F4761" w:themeColor="accent1" w:themeShade="BF"/>
          <w:kern w:val="2"/>
          <w:sz w:val="40"/>
          <w:szCs w:val="40"/>
          <w14:ligatures w14:val="standardContextual"/>
        </w:rPr>
        <w:t>Forschungsförderung zur Markteinführung innovativer ESG-Technologien</w:t>
      </w:r>
    </w:p>
    <w:p w14:paraId="75D5BDF3" w14:textId="55BB37E2" w:rsidR="0071252F" w:rsidRPr="0071252F" w:rsidRDefault="00614C4B" w:rsidP="00FE4AF0">
      <w:pPr>
        <w:jc w:val="both"/>
        <w:rPr>
          <w:rFonts w:ascii="Calibri" w:hAnsi="Calibri" w:cs="Calibri"/>
        </w:rPr>
      </w:pPr>
      <w:r>
        <w:rPr>
          <w:b/>
        </w:rPr>
        <w:fldChar w:fldCharType="begin"/>
      </w:r>
      <w:r>
        <w:rPr>
          <w:b/>
        </w:rPr>
        <w:instrText xml:space="preserve"> TIME \@ "dd.MM.yyyy" </w:instrText>
      </w:r>
      <w:r>
        <w:rPr>
          <w:b/>
        </w:rPr>
        <w:fldChar w:fldCharType="separate"/>
      </w:r>
      <w:r>
        <w:rPr>
          <w:b/>
          <w:noProof/>
        </w:rPr>
        <w:t>15</w:t>
      </w:r>
      <w:r>
        <w:rPr>
          <w:b/>
          <w:noProof/>
        </w:rPr>
        <w:t>.03.2026</w:t>
      </w:r>
      <w:r>
        <w:rPr>
          <w:b/>
        </w:rPr>
        <w:fldChar w:fldCharType="end"/>
      </w:r>
      <w:r w:rsidRPr="00D2459B">
        <w:rPr>
          <w:b/>
        </w:rPr>
        <w:t xml:space="preserve">, </w:t>
      </w:r>
      <w:r>
        <w:rPr>
          <w:b/>
        </w:rPr>
        <w:t>Köln</w:t>
      </w:r>
      <w:r w:rsidRPr="00D2459B">
        <w:t xml:space="preserve"> –</w:t>
      </w:r>
      <w:r>
        <w:t xml:space="preserve"> </w:t>
      </w:r>
      <w:r w:rsidR="0071252F" w:rsidRPr="0071252F">
        <w:rPr>
          <w:rFonts w:ascii="Calibri" w:hAnsi="Calibri" w:cs="Calibri"/>
        </w:rPr>
        <w:t xml:space="preserve">Das vom Bundesministerium für Wirtschaft und </w:t>
      </w:r>
      <w:r>
        <w:rPr>
          <w:rFonts w:ascii="Calibri" w:hAnsi="Calibri" w:cs="Calibri"/>
        </w:rPr>
        <w:t>Energie</w:t>
      </w:r>
      <w:r w:rsidR="0071252F" w:rsidRPr="0071252F">
        <w:rPr>
          <w:rFonts w:ascii="Calibri" w:hAnsi="Calibri" w:cs="Calibri"/>
        </w:rPr>
        <w:t xml:space="preserve"> (BMW</w:t>
      </w:r>
      <w:r w:rsidR="00540F79">
        <w:rPr>
          <w:rFonts w:ascii="Calibri" w:hAnsi="Calibri" w:cs="Calibri"/>
        </w:rPr>
        <w:t>E</w:t>
      </w:r>
      <w:r w:rsidR="0071252F" w:rsidRPr="0071252F">
        <w:rPr>
          <w:rFonts w:ascii="Calibri" w:hAnsi="Calibri" w:cs="Calibri"/>
        </w:rPr>
        <w:t>) geförderte Innovationsnetzwerk INESG schreitet in eine neue strategische Phase: Nach erfolgreichem Aufbau eines leistungsstarken Forschungs- und Entwicklungsverbunds rückt das Netzwerk nun gezielt die Umsetzung und kommerzielle Markteinführung seiner innovativen Technologielösungen in den Mittelpunkt.</w:t>
      </w:r>
    </w:p>
    <w:p w14:paraId="3763D3D8" w14:textId="77777777" w:rsidR="0071252F" w:rsidRPr="0071252F" w:rsidRDefault="0071252F" w:rsidP="0071252F">
      <w:pPr>
        <w:jc w:val="both"/>
        <w:rPr>
          <w:rFonts w:ascii="Calibri" w:hAnsi="Calibri" w:cs="Calibri"/>
          <w:b/>
          <w:bCs/>
          <w:color w:val="8DD873" w:themeColor="accent6" w:themeTint="99"/>
          <w:sz w:val="24"/>
          <w:szCs w:val="24"/>
        </w:rPr>
      </w:pPr>
      <w:r w:rsidRPr="0071252F">
        <w:rPr>
          <w:rFonts w:ascii="Calibri" w:hAnsi="Calibri" w:cs="Calibri"/>
          <w:b/>
          <w:bCs/>
          <w:color w:val="8DD873" w:themeColor="accent6" w:themeTint="99"/>
          <w:sz w:val="24"/>
          <w:szCs w:val="24"/>
        </w:rPr>
        <w:t>Starkes Fundament nach Phase 1</w:t>
      </w:r>
    </w:p>
    <w:p w14:paraId="0BC2CEE7" w14:textId="77777777" w:rsidR="0071252F" w:rsidRPr="0071252F" w:rsidRDefault="0071252F" w:rsidP="0071252F">
      <w:pPr>
        <w:jc w:val="both"/>
        <w:rPr>
          <w:rFonts w:ascii="Calibri" w:hAnsi="Calibri" w:cs="Calibri"/>
        </w:rPr>
      </w:pPr>
      <w:r w:rsidRPr="0071252F">
        <w:rPr>
          <w:rFonts w:ascii="Calibri" w:hAnsi="Calibri" w:cs="Calibri"/>
        </w:rPr>
        <w:t>Das INESG-Netzwerk hat sich seit seiner Gründung als ein dynamischer Verbund mittelständischer Unternehmen und Forschungseinrichtungen etabliert, der zukunftsweisende Lösungen an der Schnittstelle von Gebäudetechnik, industrieller Prozessoptimierung und nachhaltiger Klimaanpassung entwickelt. Die Bilanz der ersten Förderphase ist eindrucksvoll: Insgesamt wurden 11 Einzelvorhaben sowie 8 Projektvorschläge eingereicht, von denen bereits mehrere Projekte und Projektskizzen eine positive Bewertung erhalten haben. Dies unterstreicht die wissenschaftliche und wirtschaftliche Tragfähigkeit der verfolgten Innovationsansätze.</w:t>
      </w:r>
    </w:p>
    <w:p w14:paraId="4B8827B1" w14:textId="77777777" w:rsidR="0071252F" w:rsidRPr="0071252F" w:rsidRDefault="0071252F" w:rsidP="0071252F">
      <w:pPr>
        <w:jc w:val="both"/>
        <w:rPr>
          <w:rFonts w:ascii="Calibri" w:hAnsi="Calibri" w:cs="Calibri"/>
          <w:b/>
          <w:bCs/>
          <w:color w:val="8DD873" w:themeColor="accent6" w:themeTint="99"/>
          <w:sz w:val="24"/>
          <w:szCs w:val="24"/>
        </w:rPr>
      </w:pPr>
      <w:r w:rsidRPr="0071252F">
        <w:rPr>
          <w:rFonts w:ascii="Calibri" w:hAnsi="Calibri" w:cs="Calibri"/>
          <w:b/>
          <w:bCs/>
          <w:color w:val="8DD873" w:themeColor="accent6" w:themeTint="99"/>
          <w:sz w:val="24"/>
          <w:szCs w:val="24"/>
        </w:rPr>
        <w:t>Vernetzung als Innovationskatalysator</w:t>
      </w:r>
    </w:p>
    <w:p w14:paraId="41679ED9" w14:textId="4D923D84" w:rsidR="0071252F" w:rsidRPr="0071252F" w:rsidRDefault="0071252F" w:rsidP="0071252F">
      <w:pPr>
        <w:jc w:val="both"/>
        <w:rPr>
          <w:rFonts w:ascii="Calibri" w:hAnsi="Calibri" w:cs="Calibri"/>
        </w:rPr>
      </w:pPr>
      <w:r w:rsidRPr="0071252F">
        <w:rPr>
          <w:rFonts w:ascii="Calibri" w:hAnsi="Calibri" w:cs="Calibri"/>
        </w:rPr>
        <w:t>Ein herausragendes Ergebnis der ersten Phase ist die intensive und nachhaltige Vernetzung der Partnerunternehmen untereinander. Das INESG-Netzwerk hat dabei Kooperationen ermöglicht, die ohne den Förderrahmen des B</w:t>
      </w:r>
      <w:r w:rsidR="00DF39C3">
        <w:rPr>
          <w:rFonts w:ascii="Calibri" w:hAnsi="Calibri" w:cs="Calibri"/>
        </w:rPr>
        <w:t>undeswirtschaftsministeriums</w:t>
      </w:r>
      <w:r w:rsidRPr="0071252F">
        <w:rPr>
          <w:rFonts w:ascii="Calibri" w:hAnsi="Calibri" w:cs="Calibri"/>
        </w:rPr>
        <w:t xml:space="preserve"> nicht entstanden wären: In mindestens vier eigenständigen Themenbereichen haben sich je zwei</w:t>
      </w:r>
      <w:r w:rsidR="00DF39C3">
        <w:rPr>
          <w:rFonts w:ascii="Calibri" w:hAnsi="Calibri" w:cs="Calibri"/>
        </w:rPr>
        <w:t xml:space="preserve"> bis drei</w:t>
      </w:r>
      <w:r w:rsidRPr="0071252F">
        <w:rPr>
          <w:rFonts w:ascii="Calibri" w:hAnsi="Calibri" w:cs="Calibri"/>
        </w:rPr>
        <w:t xml:space="preserve"> Partner zusammengeschlossen, um gemeinsam an integrierten Lösungen zu arbeiten. Diese synergetischen Partnerschaften verbinden komplementäre Kompetenzen – von Sensorik und Regelungstechnik über Dachbegrünung und Wassermanagement bis hin zu industrieller Prozesswasseraufbereitung – und schaffen damit einen Mehrwert, der weit über die Summe der Einzelbeiträge hinausgeht.</w:t>
      </w:r>
    </w:p>
    <w:p w14:paraId="3F45B3BD" w14:textId="77777777" w:rsidR="0071252F" w:rsidRPr="0071252F" w:rsidRDefault="0071252F" w:rsidP="0071252F">
      <w:pPr>
        <w:jc w:val="both"/>
        <w:rPr>
          <w:rFonts w:ascii="Calibri" w:hAnsi="Calibri" w:cs="Calibri"/>
          <w:b/>
          <w:bCs/>
          <w:color w:val="8DD873" w:themeColor="accent6" w:themeTint="99"/>
          <w:sz w:val="24"/>
          <w:szCs w:val="24"/>
        </w:rPr>
      </w:pPr>
      <w:r w:rsidRPr="0071252F">
        <w:rPr>
          <w:rFonts w:ascii="Calibri" w:hAnsi="Calibri" w:cs="Calibri"/>
          <w:b/>
          <w:bCs/>
          <w:color w:val="8DD873" w:themeColor="accent6" w:themeTint="99"/>
          <w:sz w:val="24"/>
          <w:szCs w:val="24"/>
        </w:rPr>
        <w:t>Phase 2: Vom Labor zum Markt</w:t>
      </w:r>
    </w:p>
    <w:p w14:paraId="0A48B147" w14:textId="0E23DF06" w:rsidR="0071252F" w:rsidRPr="0071252F" w:rsidRDefault="0071252F" w:rsidP="0071252F">
      <w:pPr>
        <w:jc w:val="both"/>
        <w:rPr>
          <w:rFonts w:ascii="Calibri" w:hAnsi="Calibri" w:cs="Calibri"/>
        </w:rPr>
      </w:pPr>
      <w:r w:rsidRPr="0071252F">
        <w:rPr>
          <w:rFonts w:ascii="Calibri" w:hAnsi="Calibri" w:cs="Calibri"/>
        </w:rPr>
        <w:t xml:space="preserve">In Phase 2 erweitert das INESG-Netzwerk seinen strategischen Fokus grundlegend: Neben der Fortführung der Forschungs- und Entwicklungsarbeit tritt nun die konsequente Überführung der </w:t>
      </w:r>
      <w:r w:rsidRPr="0071252F">
        <w:rPr>
          <w:rFonts w:ascii="Calibri" w:hAnsi="Calibri" w:cs="Calibri"/>
        </w:rPr>
        <w:lastRenderedPageBreak/>
        <w:t>erarbeiteten Technologien in die wirtschaftliche Anwendung in den Vordergrund. Diese Technologien adressieren gezielt die wachsenden Anforderungen aus</w:t>
      </w:r>
      <w:r w:rsidR="00DF39C3">
        <w:rPr>
          <w:rFonts w:ascii="Calibri" w:hAnsi="Calibri" w:cs="Calibri"/>
        </w:rPr>
        <w:t xml:space="preserve"> dem</w:t>
      </w:r>
      <w:r w:rsidRPr="0071252F">
        <w:rPr>
          <w:rFonts w:ascii="Calibri" w:hAnsi="Calibri" w:cs="Calibri"/>
        </w:rPr>
        <w:t xml:space="preserve"> </w:t>
      </w:r>
      <w:proofErr w:type="spellStart"/>
      <w:r w:rsidR="00DF39C3">
        <w:rPr>
          <w:rFonts w:ascii="Calibri" w:hAnsi="Calibri" w:cs="Calibri"/>
        </w:rPr>
        <w:t>GebäudeModernisierungsGesetz</w:t>
      </w:r>
      <w:proofErr w:type="spellEnd"/>
      <w:r w:rsidRPr="0071252F">
        <w:rPr>
          <w:rFonts w:ascii="Calibri" w:hAnsi="Calibri" w:cs="Calibri"/>
        </w:rPr>
        <w:t>, der europäischen Gebäuderichtlinie EPBD sowie den CSRD-Berichtspflichten – regulatorische Treiber, die einen erheblichen und unmittelbaren Marktbedarf erzeugen.</w:t>
      </w:r>
    </w:p>
    <w:p w14:paraId="21C5AA57" w14:textId="77777777" w:rsidR="0071252F" w:rsidRPr="0071252F" w:rsidRDefault="0071252F" w:rsidP="0071252F">
      <w:pPr>
        <w:jc w:val="both"/>
        <w:rPr>
          <w:rFonts w:ascii="Calibri" w:hAnsi="Calibri" w:cs="Calibri"/>
          <w:b/>
          <w:bCs/>
          <w:color w:val="8DD873" w:themeColor="accent6" w:themeTint="99"/>
          <w:sz w:val="24"/>
          <w:szCs w:val="24"/>
        </w:rPr>
      </w:pPr>
      <w:r w:rsidRPr="0071252F">
        <w:rPr>
          <w:rFonts w:ascii="Calibri" w:hAnsi="Calibri" w:cs="Calibri"/>
          <w:b/>
          <w:bCs/>
          <w:color w:val="8DD873" w:themeColor="accent6" w:themeTint="99"/>
          <w:sz w:val="24"/>
          <w:szCs w:val="24"/>
        </w:rPr>
        <w:t>Ambitionierte Ziele mit gesellschaftlichem Mehrwert</w:t>
      </w:r>
    </w:p>
    <w:p w14:paraId="65B27286" w14:textId="77777777" w:rsidR="009A1D6C" w:rsidRDefault="009A1D6C" w:rsidP="00FE4AF0">
      <w:pPr>
        <w:jc w:val="both"/>
        <w:rPr>
          <w:rFonts w:ascii="Calibri" w:hAnsi="Calibri" w:cs="Calibri"/>
        </w:rPr>
      </w:pPr>
      <w:r w:rsidRPr="009A1D6C">
        <w:rPr>
          <w:rFonts w:ascii="Calibri" w:hAnsi="Calibri" w:cs="Calibri"/>
        </w:rPr>
        <w:t>Die Netzwerkpartner verfolgen mittelfristig ambitionierte, aber realistisch kalkulierte Wachstumsziele, die eine spürbare Ausweitung der wirtschaftlichen Aktivitäten sowie den Aufbau neuer Beschäftigung in zukunftsorientierten Technologiefeldern erwarten lassen. Das Netzwerk leistet damit einen messbaren Beitrag zu den Klimaschutzzielen der Bundesregierung, zur Stärkung des Mittelstands als Innovationsmotor und zur nachhaltigen Sicherung wettbewerbsfähiger Arbeitsplätze im technologieintensiven Bereich.</w:t>
      </w:r>
    </w:p>
    <w:p w14:paraId="6C7123C7" w14:textId="58FBD2F0" w:rsidR="0071252F" w:rsidRPr="009A1D6C" w:rsidRDefault="0071252F" w:rsidP="00FE4AF0">
      <w:pPr>
        <w:jc w:val="both"/>
        <w:rPr>
          <w:rFonts w:ascii="Calibri" w:hAnsi="Calibri" w:cs="Calibri"/>
        </w:rPr>
      </w:pPr>
      <w:r w:rsidRPr="0071252F">
        <w:rPr>
          <w:rFonts w:ascii="Calibri" w:hAnsi="Calibri" w:cs="Calibri"/>
        </w:rPr>
        <w:t>"</w:t>
      </w:r>
      <w:r w:rsidRPr="009A1D6C">
        <w:rPr>
          <w:rFonts w:ascii="Calibri" w:hAnsi="Calibri" w:cs="Calibri"/>
          <w:i/>
          <w:iCs/>
        </w:rPr>
        <w:t>Das INESG-Netzwerk zeigt, wie gezielte Forschungsförderung des BMW</w:t>
      </w:r>
      <w:r w:rsidR="00DF39C3">
        <w:rPr>
          <w:rFonts w:ascii="Calibri" w:hAnsi="Calibri" w:cs="Calibri"/>
          <w:i/>
          <w:iCs/>
        </w:rPr>
        <w:t>E</w:t>
      </w:r>
      <w:r w:rsidRPr="009A1D6C">
        <w:rPr>
          <w:rFonts w:ascii="Calibri" w:hAnsi="Calibri" w:cs="Calibri"/>
          <w:i/>
          <w:iCs/>
        </w:rPr>
        <w:t xml:space="preserve"> echte Innovationskraft entfaltet: Unternehmen, die sich ohne diesen Rahmen nicht gefunden hätten, entwickeln gemeinsam Technologien, die den Markt verändern werden. Phase 2 ist der konsequente nächste Schritt – von der Innovation zur Wirkung."</w:t>
      </w:r>
      <w:r>
        <w:rPr>
          <w:rFonts w:ascii="Calibri" w:hAnsi="Calibri" w:cs="Calibri"/>
        </w:rPr>
        <w:t xml:space="preserve"> </w:t>
      </w:r>
      <w:r w:rsidRPr="0071252F">
        <w:rPr>
          <w:rFonts w:ascii="Calibri" w:hAnsi="Calibri" w:cs="Calibri"/>
        </w:rPr>
        <w:t xml:space="preserve">– </w:t>
      </w:r>
      <w:r w:rsidR="00DF39C3">
        <w:rPr>
          <w:rFonts w:ascii="Calibri" w:hAnsi="Calibri" w:cs="Calibri"/>
        </w:rPr>
        <w:t xml:space="preserve">so Ulf Tscherner, der das Innovationsnetzwerk maßgeblich leitet. </w:t>
      </w:r>
    </w:p>
    <w:p w14:paraId="20286D59" w14:textId="1B59900F" w:rsidR="00FE4AF0" w:rsidRPr="00FE4AF0" w:rsidRDefault="005862E0" w:rsidP="00FE4AF0">
      <w:r w:rsidRPr="00D2459B">
        <w:t>────────────────────────────────────────────────────────────</w:t>
      </w:r>
    </w:p>
    <w:p w14:paraId="76162F9E" w14:textId="77777777" w:rsidR="00717E75" w:rsidRPr="0071252F" w:rsidRDefault="00717E75" w:rsidP="00717E75">
      <w:pPr>
        <w:jc w:val="both"/>
        <w:rPr>
          <w:rFonts w:ascii="Calibri" w:hAnsi="Calibri" w:cs="Calibri"/>
          <w:b/>
          <w:color w:val="8DD873" w:themeColor="accent6" w:themeTint="99"/>
          <w:sz w:val="24"/>
          <w:szCs w:val="24"/>
        </w:rPr>
      </w:pPr>
      <w:r w:rsidRPr="0071252F">
        <w:rPr>
          <w:rFonts w:ascii="Calibri" w:hAnsi="Calibri" w:cs="Calibri"/>
          <w:b/>
          <w:color w:val="8DD873" w:themeColor="accent6" w:themeTint="99"/>
          <w:sz w:val="24"/>
          <w:szCs w:val="24"/>
        </w:rPr>
        <w:t>Über INESG</w:t>
      </w:r>
    </w:p>
    <w:p w14:paraId="06C18C07" w14:textId="0F31E914" w:rsidR="00717E75" w:rsidRPr="0071252F" w:rsidRDefault="00717E75" w:rsidP="00F84F34">
      <w:pPr>
        <w:jc w:val="both"/>
        <w:rPr>
          <w:rFonts w:ascii="Calibri" w:hAnsi="Calibri" w:cs="Calibri"/>
          <w:bCs/>
        </w:rPr>
      </w:pPr>
      <w:r w:rsidRPr="0071252F">
        <w:rPr>
          <w:rFonts w:ascii="Calibri" w:hAnsi="Calibri" w:cs="Calibri"/>
          <w:bCs/>
        </w:rPr>
        <w:t>Das INESG Innovationsnetzwerk vernetzt Unternehmen, Forschungseinrichtungen sowie weitere Akteure aus den Bereichen Nachhaltigkeit und ESG. Ziel ist die Entwicklung und Umsetzung innovativer Technologien und Geschäftsmodelle zur Förderung einer ressourcenschonenden und klimafreundlichen Wirtschaft. Das Netzwerk unterstützt den Wissenstransfer, initiiert Kooperationsprojekte und begleitet seine Partner aktiv bei der nachhaltigen Transformation.</w:t>
      </w:r>
    </w:p>
    <w:p w14:paraId="3028A9C9" w14:textId="4FB7ED47" w:rsidR="002E3D51" w:rsidRPr="0071252F" w:rsidRDefault="005862E0" w:rsidP="0071252F">
      <w:r w:rsidRPr="00D2459B">
        <w:t>────────────────────────────────────────────────────────────</w:t>
      </w:r>
    </w:p>
    <w:p w14:paraId="507F29EB" w14:textId="742AFC94" w:rsidR="005862E0" w:rsidRPr="0071252F" w:rsidRDefault="005862E0" w:rsidP="005862E0">
      <w:pPr>
        <w:contextualSpacing/>
        <w:rPr>
          <w:rFonts w:ascii="Calibri" w:hAnsi="Calibri" w:cs="Calibri"/>
        </w:rPr>
      </w:pPr>
      <w:r w:rsidRPr="0071252F">
        <w:rPr>
          <w:rFonts w:ascii="Calibri" w:hAnsi="Calibri" w:cs="Calibri"/>
          <w:b/>
        </w:rPr>
        <w:t>Pressekontakt:</w:t>
      </w:r>
    </w:p>
    <w:p w14:paraId="3977EE91" w14:textId="64F92D14" w:rsidR="005862E0" w:rsidRPr="0071252F" w:rsidRDefault="00C214AB" w:rsidP="005862E0">
      <w:pPr>
        <w:contextualSpacing/>
        <w:rPr>
          <w:rFonts w:ascii="Calibri" w:hAnsi="Calibri" w:cs="Calibri"/>
        </w:rPr>
      </w:pPr>
      <w:r w:rsidRPr="0071252F">
        <w:rPr>
          <w:rFonts w:ascii="Calibri" w:hAnsi="Calibri" w:cs="Calibri"/>
        </w:rPr>
        <w:t>Ulf Tscherner</w:t>
      </w:r>
    </w:p>
    <w:p w14:paraId="4908147B" w14:textId="77777777" w:rsidR="005862E0" w:rsidRPr="0071252F" w:rsidRDefault="005862E0" w:rsidP="005862E0">
      <w:pPr>
        <w:contextualSpacing/>
        <w:rPr>
          <w:rFonts w:ascii="Calibri" w:hAnsi="Calibri" w:cs="Calibri"/>
        </w:rPr>
      </w:pPr>
      <w:r w:rsidRPr="0071252F">
        <w:rPr>
          <w:rFonts w:ascii="Calibri" w:hAnsi="Calibri" w:cs="Calibri"/>
        </w:rPr>
        <w:t>Netzwerkmanager</w:t>
      </w:r>
    </w:p>
    <w:p w14:paraId="56068A6C" w14:textId="77777777" w:rsidR="005862E0" w:rsidRPr="0071252F" w:rsidRDefault="005862E0" w:rsidP="005862E0">
      <w:pPr>
        <w:contextualSpacing/>
        <w:rPr>
          <w:rFonts w:ascii="Calibri" w:hAnsi="Calibri" w:cs="Calibri"/>
        </w:rPr>
      </w:pPr>
      <w:r w:rsidRPr="0071252F">
        <w:rPr>
          <w:rFonts w:ascii="Calibri" w:hAnsi="Calibri" w:cs="Calibri"/>
        </w:rPr>
        <w:t>ut@abc-losung.de</w:t>
      </w:r>
    </w:p>
    <w:p w14:paraId="53F945F9" w14:textId="1BD2B2E3" w:rsidR="005862E0" w:rsidRPr="0071252F" w:rsidRDefault="005862E0" w:rsidP="005862E0">
      <w:pPr>
        <w:contextualSpacing/>
        <w:rPr>
          <w:rFonts w:ascii="Calibri" w:hAnsi="Calibri" w:cs="Calibri"/>
        </w:rPr>
      </w:pPr>
      <w:r w:rsidRPr="0071252F">
        <w:rPr>
          <w:rFonts w:ascii="Calibri" w:hAnsi="Calibri" w:cs="Calibri"/>
        </w:rPr>
        <w:t>+49 (0) 221 9602 88</w:t>
      </w:r>
      <w:r w:rsidR="00F84F34" w:rsidRPr="0071252F">
        <w:rPr>
          <w:rFonts w:ascii="Calibri" w:hAnsi="Calibri" w:cs="Calibri"/>
        </w:rPr>
        <w:t>0</w:t>
      </w:r>
      <w:r w:rsidR="00FE4AF0" w:rsidRPr="0071252F">
        <w:rPr>
          <w:rFonts w:ascii="Calibri" w:hAnsi="Calibri" w:cs="Calibri"/>
        </w:rPr>
        <w:t>1</w:t>
      </w:r>
      <w:r w:rsidRPr="0071252F">
        <w:rPr>
          <w:rFonts w:ascii="Calibri" w:hAnsi="Calibri" w:cs="Calibri"/>
        </w:rPr>
        <w:t xml:space="preserve"> – Tel </w:t>
      </w:r>
    </w:p>
    <w:p w14:paraId="551DA478" w14:textId="7D25632B" w:rsidR="0080356B" w:rsidRPr="0071252F" w:rsidRDefault="005862E0">
      <w:pPr>
        <w:contextualSpacing/>
        <w:rPr>
          <w:rFonts w:ascii="Calibri" w:hAnsi="Calibri" w:cs="Calibri"/>
        </w:rPr>
      </w:pPr>
      <w:r w:rsidRPr="0071252F">
        <w:rPr>
          <w:rFonts w:ascii="Calibri" w:hAnsi="Calibri" w:cs="Calibri"/>
          <w:lang w:val="fr-FR"/>
        </w:rPr>
        <w:t xml:space="preserve">+49 (0) 151 </w:t>
      </w:r>
      <w:r w:rsidR="00C214AB" w:rsidRPr="0071252F">
        <w:rPr>
          <w:rFonts w:ascii="Calibri" w:hAnsi="Calibri" w:cs="Calibri"/>
          <w:lang w:val="fr-FR"/>
        </w:rPr>
        <w:t>1277 666</w:t>
      </w:r>
      <w:r w:rsidR="00FE4AF0" w:rsidRPr="0071252F">
        <w:rPr>
          <w:rFonts w:ascii="Calibri" w:hAnsi="Calibri" w:cs="Calibri"/>
          <w:lang w:val="fr-FR"/>
        </w:rPr>
        <w:t>1</w:t>
      </w:r>
      <w:r w:rsidR="00F84F34" w:rsidRPr="0071252F">
        <w:rPr>
          <w:rFonts w:ascii="Calibri" w:hAnsi="Calibri" w:cs="Calibri"/>
          <w:lang w:val="fr-FR"/>
        </w:rPr>
        <w:t xml:space="preserve"> </w:t>
      </w:r>
      <w:r w:rsidRPr="0071252F">
        <w:rPr>
          <w:rFonts w:ascii="Calibri" w:hAnsi="Calibri" w:cs="Calibri"/>
          <w:lang w:val="fr-FR"/>
        </w:rPr>
        <w:t>– Mobil</w:t>
      </w:r>
    </w:p>
    <w:sectPr w:rsidR="0080356B" w:rsidRPr="0071252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340D" w14:textId="77777777" w:rsidR="006765D2" w:rsidRDefault="006765D2" w:rsidP="002E5840">
      <w:pPr>
        <w:spacing w:after="0" w:line="240" w:lineRule="auto"/>
      </w:pPr>
      <w:r>
        <w:separator/>
      </w:r>
    </w:p>
  </w:endnote>
  <w:endnote w:type="continuationSeparator" w:id="0">
    <w:p w14:paraId="4ED70A58" w14:textId="77777777" w:rsidR="006765D2" w:rsidRDefault="006765D2" w:rsidP="002E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3901" w14:textId="77777777" w:rsidR="006765D2" w:rsidRDefault="006765D2" w:rsidP="002E5840">
      <w:pPr>
        <w:spacing w:after="0" w:line="240" w:lineRule="auto"/>
      </w:pPr>
      <w:r>
        <w:separator/>
      </w:r>
    </w:p>
  </w:footnote>
  <w:footnote w:type="continuationSeparator" w:id="0">
    <w:p w14:paraId="0784E26E" w14:textId="77777777" w:rsidR="006765D2" w:rsidRDefault="006765D2" w:rsidP="002E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3B34" w14:textId="62D94A38" w:rsidR="002E5840" w:rsidRDefault="000D5CB5">
    <w:pPr>
      <w:pStyle w:val="Kopfzeile"/>
    </w:pPr>
    <w:r>
      <w:rPr>
        <w:noProof/>
        <w14:ligatures w14:val="standardContextual"/>
      </w:rPr>
      <w:drawing>
        <wp:inline distT="0" distB="0" distL="0" distR="0" wp14:anchorId="3AE688A3" wp14:editId="3D6A5071">
          <wp:extent cx="5760720" cy="1351280"/>
          <wp:effectExtent l="0" t="0" r="0" b="1270"/>
          <wp:docPr id="1694043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43235" name=""/>
                  <pic:cNvPicPr/>
                </pic:nvPicPr>
                <pic:blipFill>
                  <a:blip r:embed="rId1"/>
                  <a:stretch>
                    <a:fillRect/>
                  </a:stretch>
                </pic:blipFill>
                <pic:spPr>
                  <a:xfrm>
                    <a:off x="0" y="0"/>
                    <a:ext cx="5760720" cy="1351280"/>
                  </a:xfrm>
                  <a:prstGeom prst="rect">
                    <a:avLst/>
                  </a:prstGeom>
                </pic:spPr>
              </pic:pic>
            </a:graphicData>
          </a:graphic>
        </wp:inline>
      </w:drawing>
    </w:r>
  </w:p>
  <w:p w14:paraId="1BA2DEA0" w14:textId="52A09FEB" w:rsidR="002E5840" w:rsidRDefault="002E5840">
    <w:pPr>
      <w:pStyle w:val="Kopfzeile"/>
    </w:pPr>
    <w:r>
      <w:t xml:space="preserve">                                                                www.</w:t>
    </w:r>
    <w:r w:rsidR="000D5CB5" w:rsidRPr="000D5CB5">
      <w:t>esg-netzwerk.de</w:t>
    </w:r>
  </w:p>
  <w:p w14:paraId="6F121C07" w14:textId="034D85EA" w:rsidR="002E5840" w:rsidRDefault="002E584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41"/>
    <w:rsid w:val="00030BFB"/>
    <w:rsid w:val="000D5CB5"/>
    <w:rsid w:val="00142077"/>
    <w:rsid w:val="00153804"/>
    <w:rsid w:val="001B4A66"/>
    <w:rsid w:val="001C2EC3"/>
    <w:rsid w:val="00250EAD"/>
    <w:rsid w:val="00274AF3"/>
    <w:rsid w:val="002E3D51"/>
    <w:rsid w:val="002E5840"/>
    <w:rsid w:val="0031058F"/>
    <w:rsid w:val="00382407"/>
    <w:rsid w:val="00393420"/>
    <w:rsid w:val="003E1092"/>
    <w:rsid w:val="00452DDB"/>
    <w:rsid w:val="004E4B2F"/>
    <w:rsid w:val="00540F79"/>
    <w:rsid w:val="005862E0"/>
    <w:rsid w:val="005A165C"/>
    <w:rsid w:val="00606F53"/>
    <w:rsid w:val="00614C4B"/>
    <w:rsid w:val="006765D2"/>
    <w:rsid w:val="006B526B"/>
    <w:rsid w:val="006D71BB"/>
    <w:rsid w:val="0071252F"/>
    <w:rsid w:val="00717E75"/>
    <w:rsid w:val="00751EC6"/>
    <w:rsid w:val="00755576"/>
    <w:rsid w:val="007B1DCF"/>
    <w:rsid w:val="0080356B"/>
    <w:rsid w:val="00830A29"/>
    <w:rsid w:val="00850076"/>
    <w:rsid w:val="008E6197"/>
    <w:rsid w:val="00914899"/>
    <w:rsid w:val="00970957"/>
    <w:rsid w:val="009A1D6C"/>
    <w:rsid w:val="00A50498"/>
    <w:rsid w:val="00AB568C"/>
    <w:rsid w:val="00AD4B05"/>
    <w:rsid w:val="00B31727"/>
    <w:rsid w:val="00B46158"/>
    <w:rsid w:val="00B6331F"/>
    <w:rsid w:val="00BD0D15"/>
    <w:rsid w:val="00C024B7"/>
    <w:rsid w:val="00C214AB"/>
    <w:rsid w:val="00CF1773"/>
    <w:rsid w:val="00D26917"/>
    <w:rsid w:val="00DE5693"/>
    <w:rsid w:val="00DF39C3"/>
    <w:rsid w:val="00E3116A"/>
    <w:rsid w:val="00EF16D3"/>
    <w:rsid w:val="00F84F34"/>
    <w:rsid w:val="00F91B14"/>
    <w:rsid w:val="00FE4AF0"/>
    <w:rsid w:val="00FE5F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7210"/>
  <w15:chartTrackingRefBased/>
  <w15:docId w15:val="{DB8DD89F-A15E-49C4-B4FA-F0F8ECA6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4B7"/>
    <w:pPr>
      <w:spacing w:after="200" w:line="276" w:lineRule="auto"/>
    </w:pPr>
    <w:rPr>
      <w:rFonts w:eastAsiaTheme="minorEastAsia"/>
      <w:kern w:val="0"/>
      <w14:ligatures w14:val="none"/>
    </w:rPr>
  </w:style>
  <w:style w:type="paragraph" w:styleId="berschrift1">
    <w:name w:val="heading 1"/>
    <w:basedOn w:val="Standard"/>
    <w:next w:val="Standard"/>
    <w:link w:val="berschrift1Zchn"/>
    <w:uiPriority w:val="9"/>
    <w:qFormat/>
    <w:rsid w:val="00FE5F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FE5F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FE5F4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FE5F4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FE5F4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FE5F4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FE5F4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FE5F4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FE5F4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5F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E5F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E5F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E5F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E5F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E5F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5F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E5F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5F41"/>
    <w:rPr>
      <w:rFonts w:eastAsiaTheme="majorEastAsia" w:cstheme="majorBidi"/>
      <w:color w:val="272727" w:themeColor="text1" w:themeTint="D8"/>
    </w:rPr>
  </w:style>
  <w:style w:type="paragraph" w:styleId="Titel">
    <w:name w:val="Title"/>
    <w:basedOn w:val="Standard"/>
    <w:next w:val="Standard"/>
    <w:link w:val="TitelZchn"/>
    <w:uiPriority w:val="10"/>
    <w:qFormat/>
    <w:rsid w:val="00FE5F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FE5F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5F4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FE5F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E5F41"/>
    <w:pPr>
      <w:spacing w:before="160" w:after="160" w:line="259" w:lineRule="auto"/>
      <w:jc w:val="center"/>
    </w:pPr>
    <w:rPr>
      <w:rFonts w:eastAsiaTheme="minorHAns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FE5F41"/>
    <w:rPr>
      <w:i/>
      <w:iCs/>
      <w:color w:val="404040" w:themeColor="text1" w:themeTint="BF"/>
    </w:rPr>
  </w:style>
  <w:style w:type="paragraph" w:styleId="Listenabsatz">
    <w:name w:val="List Paragraph"/>
    <w:basedOn w:val="Standard"/>
    <w:uiPriority w:val="34"/>
    <w:qFormat/>
    <w:rsid w:val="00FE5F41"/>
    <w:pPr>
      <w:spacing w:after="160" w:line="259" w:lineRule="auto"/>
      <w:ind w:left="720"/>
      <w:contextualSpacing/>
    </w:pPr>
    <w:rPr>
      <w:rFonts w:eastAsiaTheme="minorHAnsi"/>
      <w:kern w:val="2"/>
      <w14:ligatures w14:val="standardContextual"/>
    </w:rPr>
  </w:style>
  <w:style w:type="character" w:styleId="IntensiveHervorhebung">
    <w:name w:val="Intense Emphasis"/>
    <w:basedOn w:val="Absatz-Standardschriftart"/>
    <w:uiPriority w:val="21"/>
    <w:qFormat/>
    <w:rsid w:val="00FE5F41"/>
    <w:rPr>
      <w:i/>
      <w:iCs/>
      <w:color w:val="0F4761" w:themeColor="accent1" w:themeShade="BF"/>
    </w:rPr>
  </w:style>
  <w:style w:type="paragraph" w:styleId="IntensivesZitat">
    <w:name w:val="Intense Quote"/>
    <w:basedOn w:val="Standard"/>
    <w:next w:val="Standard"/>
    <w:link w:val="IntensivesZitatZchn"/>
    <w:uiPriority w:val="30"/>
    <w:qFormat/>
    <w:rsid w:val="00FE5F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FE5F41"/>
    <w:rPr>
      <w:i/>
      <w:iCs/>
      <w:color w:val="0F4761" w:themeColor="accent1" w:themeShade="BF"/>
    </w:rPr>
  </w:style>
  <w:style w:type="character" w:styleId="IntensiverVerweis">
    <w:name w:val="Intense Reference"/>
    <w:basedOn w:val="Absatz-Standardschriftart"/>
    <w:uiPriority w:val="32"/>
    <w:qFormat/>
    <w:rsid w:val="00FE5F41"/>
    <w:rPr>
      <w:b/>
      <w:bCs/>
      <w:smallCaps/>
      <w:color w:val="0F4761" w:themeColor="accent1" w:themeShade="BF"/>
      <w:spacing w:val="5"/>
    </w:rPr>
  </w:style>
  <w:style w:type="paragraph" w:styleId="Kopfzeile">
    <w:name w:val="header"/>
    <w:basedOn w:val="Standard"/>
    <w:link w:val="KopfzeileZchn"/>
    <w:uiPriority w:val="99"/>
    <w:unhideWhenUsed/>
    <w:rsid w:val="002E58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840"/>
    <w:rPr>
      <w:rFonts w:eastAsiaTheme="minorEastAsia"/>
      <w:kern w:val="0"/>
      <w14:ligatures w14:val="none"/>
    </w:rPr>
  </w:style>
  <w:style w:type="paragraph" w:styleId="Fuzeile">
    <w:name w:val="footer"/>
    <w:basedOn w:val="Standard"/>
    <w:link w:val="FuzeileZchn"/>
    <w:uiPriority w:val="99"/>
    <w:unhideWhenUsed/>
    <w:rsid w:val="002E58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840"/>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Loosen - abc</dc:creator>
  <cp:keywords/>
  <dc:description/>
  <cp:lastModifiedBy>Alexander Schank - abc</cp:lastModifiedBy>
  <cp:revision>5</cp:revision>
  <dcterms:created xsi:type="dcterms:W3CDTF">2026-03-27T10:30:00Z</dcterms:created>
  <dcterms:modified xsi:type="dcterms:W3CDTF">2026-03-30T09:18:00Z</dcterms:modified>
</cp:coreProperties>
</file>